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640ED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40ED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40ED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40ED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40ED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40ED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40ED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40ED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40ED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40ED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40ED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40ED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40ED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40ED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40ED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40ED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40ED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629CA08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F609AD">
        <w:rPr>
          <w:rFonts w:cs="Calibri"/>
        </w:rPr>
        <w:t>20</w:t>
      </w:r>
      <w:r w:rsidRPr="00E74967">
        <w:rPr>
          <w:rFonts w:cs="Calibri"/>
        </w:rPr>
        <w:t>).</w:t>
      </w:r>
    </w:p>
    <w:p w14:paraId="04F7186A" w14:textId="575259FD" w:rsidR="007D1E76" w:rsidRPr="00E74967" w:rsidRDefault="008B220F" w:rsidP="00CB41C4">
      <w:pPr>
        <w:tabs>
          <w:tab w:val="left" w:leader="underscore" w:pos="9639"/>
        </w:tabs>
        <w:spacing w:after="0" w:line="240" w:lineRule="auto"/>
        <w:jc w:val="both"/>
        <w:rPr>
          <w:rFonts w:cs="Calibri"/>
        </w:rPr>
      </w:pPr>
      <w:r>
        <w:rPr>
          <w:rFonts w:cs="Calibri"/>
        </w:rPr>
        <w:t>Enero-diciembre 20</w:t>
      </w:r>
      <w:r w:rsidR="00F609AD">
        <w:rPr>
          <w:rFonts w:cs="Calibri"/>
        </w:rPr>
        <w:t>20</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eastAsia="es-MX"/>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1BBC" w14:textId="77777777" w:rsidR="00640ED1" w:rsidRDefault="00640ED1" w:rsidP="00E00323">
      <w:pPr>
        <w:spacing w:after="0" w:line="240" w:lineRule="auto"/>
      </w:pPr>
      <w:r>
        <w:separator/>
      </w:r>
    </w:p>
  </w:endnote>
  <w:endnote w:type="continuationSeparator" w:id="0">
    <w:p w14:paraId="397F7798" w14:textId="77777777" w:rsidR="00640ED1" w:rsidRDefault="00640ED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72843" w:rsidRPr="00D7284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7AF3" w14:textId="77777777" w:rsidR="00640ED1" w:rsidRDefault="00640ED1" w:rsidP="00E00323">
      <w:pPr>
        <w:spacing w:after="0" w:line="240" w:lineRule="auto"/>
      </w:pPr>
      <w:r>
        <w:separator/>
      </w:r>
    </w:p>
  </w:footnote>
  <w:footnote w:type="continuationSeparator" w:id="0">
    <w:p w14:paraId="1EE57668" w14:textId="77777777" w:rsidR="00640ED1" w:rsidRDefault="00640ED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2FF5DDA" w14:textId="1357934E" w:rsidR="00F609AD"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2B0B93">
      <w:t>0</w:t>
    </w:r>
    <w:r w:rsidR="002F2C2C">
      <w:t xml:space="preserve"> de </w:t>
    </w:r>
    <w:r w:rsidR="002B0B93">
      <w:t>junio</w:t>
    </w:r>
    <w:r w:rsidR="00BF465C">
      <w:t xml:space="preserve"> </w:t>
    </w:r>
    <w:r w:rsidR="008B220F">
      <w:t>de 20</w:t>
    </w:r>
    <w:r w:rsidR="00F609A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C08"/>
    <w:rsid w:val="00084EAE"/>
    <w:rsid w:val="00091CE6"/>
    <w:rsid w:val="000B7810"/>
    <w:rsid w:val="000C3365"/>
    <w:rsid w:val="0012405A"/>
    <w:rsid w:val="00135A13"/>
    <w:rsid w:val="00154BA3"/>
    <w:rsid w:val="00187CAF"/>
    <w:rsid w:val="001973A2"/>
    <w:rsid w:val="001C75F2"/>
    <w:rsid w:val="001D2063"/>
    <w:rsid w:val="001D43E9"/>
    <w:rsid w:val="00202BF4"/>
    <w:rsid w:val="00234953"/>
    <w:rsid w:val="00235C73"/>
    <w:rsid w:val="002B0B93"/>
    <w:rsid w:val="002C0C7C"/>
    <w:rsid w:val="002D4A9E"/>
    <w:rsid w:val="002F2C2C"/>
    <w:rsid w:val="003453CA"/>
    <w:rsid w:val="004023A7"/>
    <w:rsid w:val="00435A87"/>
    <w:rsid w:val="00445B94"/>
    <w:rsid w:val="004A58C8"/>
    <w:rsid w:val="004F0D4D"/>
    <w:rsid w:val="00502960"/>
    <w:rsid w:val="0054701E"/>
    <w:rsid w:val="005D3E43"/>
    <w:rsid w:val="005E231E"/>
    <w:rsid w:val="00632630"/>
    <w:rsid w:val="00640ED1"/>
    <w:rsid w:val="00657009"/>
    <w:rsid w:val="00681C79"/>
    <w:rsid w:val="006B4190"/>
    <w:rsid w:val="00707E30"/>
    <w:rsid w:val="007112C0"/>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A4C38"/>
    <w:rsid w:val="00AB722B"/>
    <w:rsid w:val="00AC7810"/>
    <w:rsid w:val="00AE1F6A"/>
    <w:rsid w:val="00B812BA"/>
    <w:rsid w:val="00BF465C"/>
    <w:rsid w:val="00C458BA"/>
    <w:rsid w:val="00C97E1E"/>
    <w:rsid w:val="00CB41C4"/>
    <w:rsid w:val="00CF1316"/>
    <w:rsid w:val="00D13C44"/>
    <w:rsid w:val="00D53C47"/>
    <w:rsid w:val="00D72843"/>
    <w:rsid w:val="00D975B1"/>
    <w:rsid w:val="00DB1E1F"/>
    <w:rsid w:val="00E00323"/>
    <w:rsid w:val="00E07A3C"/>
    <w:rsid w:val="00E45F39"/>
    <w:rsid w:val="00E6271F"/>
    <w:rsid w:val="00E74967"/>
    <w:rsid w:val="00EA37F5"/>
    <w:rsid w:val="00EA7915"/>
    <w:rsid w:val="00EB5E34"/>
    <w:rsid w:val="00ED28B3"/>
    <w:rsid w:val="00F30E6C"/>
    <w:rsid w:val="00F3308A"/>
    <w:rsid w:val="00F46719"/>
    <w:rsid w:val="00F54C2B"/>
    <w:rsid w:val="00F54F6F"/>
    <w:rsid w:val="00F609AD"/>
    <w:rsid w:val="00F736C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A9E961A-CF4D-4903-8A69-9DC60634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4529</Words>
  <Characters>24914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 de Lourdes Lopez Ramirez</cp:lastModifiedBy>
  <cp:revision>2</cp:revision>
  <dcterms:created xsi:type="dcterms:W3CDTF">2020-07-13T16:35:00Z</dcterms:created>
  <dcterms:modified xsi:type="dcterms:W3CDTF">2020-07-13T16:35:00Z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